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墨竹诗册 纸本，行书，纵24.7cm，横32cm 台北故宫博物院藏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释文：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墨竹无师承。所师在真竹。墙头风露枝。日夜看烂熟。李侯心独苦。一笔不啻足。清风来不来。叶叶暗相触。想当落笔时。见竹不见墨。寄哉雨江堂。有此筼簹谷。白珽。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以上资料 仅供学习使用。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隶书" w:hAnsi="隶书" w:eastAsia="隶书" w:cs="隶书"/>
          <w:b w:val="0"/>
          <w:i w:val="0"/>
          <w:caps w:val="0"/>
          <w:color w:val="008000"/>
          <w:spacing w:val="0"/>
          <w:sz w:val="48"/>
          <w:szCs w:val="48"/>
          <w:shd w:val="clear" w:fill="FFFFFF"/>
        </w:rPr>
        <w:t>白 珽</w:t>
      </w:r>
      <w:r>
        <w:rPr>
          <w:rFonts w:hint="default" w:ascii="隶书" w:hAnsi="隶书" w:eastAsia="隶书" w:cs="隶书"/>
          <w:b w:val="0"/>
          <w:i w:val="0"/>
          <w:caps w:val="0"/>
          <w:color w:val="008000"/>
          <w:spacing w:val="0"/>
          <w:sz w:val="36"/>
          <w:szCs w:val="36"/>
          <w:shd w:val="clear" w:fill="FFFFFF"/>
        </w:rPr>
        <w:t>（1248-1328）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元代诗文家、学者、书法家。字廷玉，号湛渊、栖霞山人。钱塘(浙江杭州)人。自幼聪慧过人，雅好诗文，博通经史。与同邑仇远同以诗名于世，人称“仇白”。入元后，授太平路儒学学正，不久摄教授事，后转常州路教授，迁江浙等处行中书省儒学副提举，又转任淮东盐仓大使、兰溪州判官。晚年归隐西湖栖霞岭下，因有泉白天竺山汇流于其门口，故题居室名为“湛渊”。工诗赋，曾与当时名士结社，称“月泉吟社”。他的诗，题材多为描绘自然秀丽风光、农村田园生活，也有反映民生疾苦及时政的。语言质朴自然，婉丽恬淡，不事雕琢，格调高雅，深得时人推崇。他的《西湖赋》，洋洋近万言，历述西湖名胜古迹，考据甚详，堪称西湖小志。著有《湛渊集》8卷，今仅存《湛渊遗稿》和《湛渊静语》各1卷。擅长诗文，与周密、赵孟頫、鲜于枢、邓文原、仇远等往来密切。书法造诣亦深，时人称他“诗逼陶、韦，书通颜、柳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445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2017-01-24T01:59:02Z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